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CE2F7">
      <w:pPr>
        <w:spacing w:line="360" w:lineRule="auto"/>
        <w:jc w:val="center"/>
        <w:rPr>
          <w:rFonts w:ascii="Times New Roman" w:hAnsi="Times New Roman" w:eastAsia="宋体" w:cs="Times New Roman"/>
          <w:b/>
          <w:sz w:val="32"/>
          <w:szCs w:val="32"/>
          <w:lang w:eastAsia="zh-CN"/>
        </w:rPr>
      </w:pPr>
      <w:bookmarkStart w:id="0" w:name="_GoBack"/>
      <w:r>
        <w:rPr>
          <w:rFonts w:ascii="Times New Roman" w:hAnsi="Times New Roman" w:eastAsia="宋体" w:cs="Times New Roman"/>
          <w:b/>
          <w:sz w:val="32"/>
          <w:szCs w:val="32"/>
          <w:lang w:eastAsia="zh-CN"/>
        </w:rPr>
        <w:t>“环境工程专业+绿色低碳技术”项目培养方案</w:t>
      </w:r>
    </w:p>
    <w:bookmarkEnd w:id="0"/>
    <w:p w14:paraId="072732F5">
      <w:pPr>
        <w:spacing w:line="360" w:lineRule="auto"/>
        <w:jc w:val="center"/>
        <w:rPr>
          <w:rFonts w:ascii="Times New Roman" w:hAnsi="Times New Roman" w:eastAsia="宋体" w:cs="Times New Roman"/>
          <w:b/>
          <w:sz w:val="28"/>
          <w:szCs w:val="28"/>
          <w:lang w:eastAsia="zh-CN"/>
        </w:rPr>
      </w:pPr>
      <w:r>
        <w:rPr>
          <w:rFonts w:ascii="Times New Roman" w:hAnsi="Times New Roman" w:eastAsia="宋体" w:cs="Times New Roman"/>
          <w:b/>
          <w:sz w:val="28"/>
          <w:szCs w:val="28"/>
          <w:lang w:eastAsia="zh-CN"/>
        </w:rPr>
        <w:t>（202</w:t>
      </w:r>
      <w:r>
        <w:rPr>
          <w:rFonts w:hint="eastAsia" w:ascii="Times New Roman" w:hAnsi="Times New Roman" w:eastAsia="宋体" w:cs="Times New Roman"/>
          <w:b/>
          <w:sz w:val="28"/>
          <w:szCs w:val="28"/>
          <w:lang w:eastAsia="zh-CN"/>
        </w:rPr>
        <w:t>5</w:t>
      </w:r>
      <w:r>
        <w:rPr>
          <w:rFonts w:ascii="Times New Roman" w:hAnsi="Times New Roman" w:eastAsia="宋体" w:cs="Times New Roman"/>
          <w:b/>
          <w:sz w:val="28"/>
          <w:szCs w:val="28"/>
          <w:lang w:eastAsia="zh-CN"/>
        </w:rPr>
        <w:t>年）</w:t>
      </w:r>
    </w:p>
    <w:p w14:paraId="0ACD4773">
      <w:pPr>
        <w:spacing w:line="360" w:lineRule="auto"/>
        <w:rPr>
          <w:rFonts w:ascii="Times New Roman" w:hAnsi="Times New Roman" w:eastAsia="宋体" w:cs="Times New Roman"/>
          <w:b/>
          <w:sz w:val="28"/>
          <w:szCs w:val="28"/>
          <w:lang w:eastAsia="zh-CN"/>
        </w:rPr>
      </w:pPr>
      <w:r>
        <w:rPr>
          <w:rFonts w:ascii="Times New Roman" w:hAnsi="Times New Roman" w:eastAsia="宋体" w:cs="Times New Roman"/>
          <w:b/>
          <w:sz w:val="28"/>
          <w:szCs w:val="28"/>
          <w:lang w:eastAsia="zh-CN"/>
        </w:rPr>
        <w:t>一、培养目标</w:t>
      </w:r>
    </w:p>
    <w:p w14:paraId="1987FB9E">
      <w:pPr>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1、培养总目标</w:t>
      </w:r>
    </w:p>
    <w:p w14:paraId="5A1F4A3E">
      <w:pPr>
        <w:spacing w:line="360" w:lineRule="auto"/>
        <w:ind w:firstLine="480" w:firstLineChars="200"/>
        <w:jc w:val="both"/>
        <w:rPr>
          <w:rFonts w:ascii="Times New Roman" w:hAnsi="Times New Roman" w:eastAsia="宋体" w:cs="Times New Roman"/>
          <w:sz w:val="24"/>
          <w:szCs w:val="24"/>
          <w:lang w:eastAsia="zh-CN"/>
        </w:rPr>
      </w:pPr>
      <w:r>
        <w:rPr>
          <w:rFonts w:hint="eastAsia" w:ascii="宋体" w:hAnsi="宋体" w:eastAsia="宋体" w:cs="宋体"/>
          <w:sz w:val="24"/>
          <w:szCs w:val="24"/>
          <w:lang w:eastAsia="zh-CN"/>
        </w:rPr>
        <w:t>“环境工程专业+绿色低碳技术”（以下简称“本专业+”）</w:t>
      </w:r>
      <w:r>
        <w:rPr>
          <w:rFonts w:ascii="Times New Roman" w:hAnsi="Times New Roman" w:eastAsia="宋体" w:cs="Times New Roman"/>
          <w:sz w:val="24"/>
          <w:szCs w:val="24"/>
          <w:lang w:eastAsia="zh-CN"/>
        </w:rPr>
        <w:t>项目培养德、智协调发展，掌握绿色低碳相关基础理论、专业知识和核算技术，具有良好的职业道德素养和较强的实践能力，能够从事碳核算、碳核查、碳评价、碳规划等相关工作的精技术、重责任、国际化的应用型创新人才。</w:t>
      </w:r>
    </w:p>
    <w:p w14:paraId="3839FB8D">
      <w:pPr>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2、价值引领目标</w:t>
      </w:r>
    </w:p>
    <w:p w14:paraId="57B1BFEF">
      <w:pPr>
        <w:spacing w:line="360" w:lineRule="auto"/>
        <w:ind w:firstLine="480" w:firstLineChars="200"/>
        <w:jc w:val="both"/>
        <w:rPr>
          <w:rFonts w:ascii="Times New Roman" w:hAnsi="Times New Roman" w:eastAsia="宋体" w:cs="Times New Roman"/>
          <w:sz w:val="24"/>
          <w:szCs w:val="24"/>
          <w:lang w:eastAsia="zh-CN"/>
        </w:rPr>
      </w:pPr>
      <w:r>
        <w:rPr>
          <w:rFonts w:ascii="宋体" w:hAnsi="宋体" w:eastAsia="宋体" w:cs="宋体"/>
          <w:sz w:val="24"/>
          <w:szCs w:val="24"/>
          <w:lang w:eastAsia="zh-CN"/>
        </w:rPr>
        <w:t>“本专业+”项目以立</w:t>
      </w:r>
      <w:r>
        <w:rPr>
          <w:rFonts w:ascii="Times New Roman" w:hAnsi="Times New Roman" w:eastAsia="宋体" w:cs="Times New Roman"/>
          <w:sz w:val="24"/>
          <w:szCs w:val="24"/>
          <w:lang w:eastAsia="zh-CN"/>
        </w:rPr>
        <w:t>德树人为根本，将社会主义核心价值观融入学生教育全过程，努力引导学生关注新时代绿色发展理念与实践，树立生态文明意识，增强中国环</w:t>
      </w:r>
      <w:r>
        <w:rPr>
          <w:rFonts w:ascii="宋体" w:hAnsi="宋体" w:eastAsia="宋体" w:cs="宋体"/>
          <w:sz w:val="24"/>
          <w:szCs w:val="24"/>
          <w:lang w:eastAsia="zh-CN"/>
        </w:rPr>
        <w:t>保“思想观”、“实践观”、“系统观”、“全球观”，积</w:t>
      </w:r>
      <w:r>
        <w:rPr>
          <w:rFonts w:ascii="Times New Roman" w:hAnsi="Times New Roman" w:eastAsia="宋体" w:cs="Times New Roman"/>
          <w:sz w:val="24"/>
          <w:szCs w:val="24"/>
          <w:lang w:eastAsia="zh-CN"/>
        </w:rPr>
        <w:t>极培育大学生的爱党爱国情怀，夯实大学生的价值观基础。</w:t>
      </w:r>
    </w:p>
    <w:p w14:paraId="1F30DD01">
      <w:pPr>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3、学生毕业五年后须达到的目标</w:t>
      </w:r>
    </w:p>
    <w:p w14:paraId="7E745180">
      <w:pPr>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（1）能综合运用绿色低碳相关基础理论、专业知识和核算技术分析和解决复杂减污降碳问题，能够胜任与能源环保相关的碳核算、碳核查、碳评价、碳规划等工作；</w:t>
      </w:r>
    </w:p>
    <w:p w14:paraId="25378788">
      <w:pPr>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（2）具有良好的人文社会科学素养、社会责任感和职业道德素养，能自觉有效地将社会、健康、安全、法律、文化、可持续发展等因素融入减污降碳问题解决方案；</w:t>
      </w:r>
    </w:p>
    <w:p w14:paraId="394494D3">
      <w:pPr>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（3）具备有效沟通和交流表达能力、团队合作能力，以及组织和开展项目实施的能力；</w:t>
      </w:r>
    </w:p>
    <w:p w14:paraId="6C303D13">
      <w:pPr>
        <w:spacing w:line="360" w:lineRule="auto"/>
        <w:ind w:firstLine="480" w:firstLineChars="200"/>
        <w:jc w:val="both"/>
        <w:rPr>
          <w:rFonts w:ascii="Times New Roman" w:hAnsi="Times New Roman" w:eastAsia="宋体" w:cs="Times New Roman"/>
          <w:b/>
          <w:sz w:val="24"/>
          <w:szCs w:val="24"/>
          <w:lang w:eastAsia="zh-CN"/>
        </w:rPr>
      </w:pPr>
      <w:r>
        <w:rPr>
          <w:rFonts w:ascii="Times New Roman" w:hAnsi="Times New Roman" w:eastAsia="宋体" w:cs="Times New Roman"/>
          <w:sz w:val="24"/>
          <w:szCs w:val="24"/>
          <w:lang w:eastAsia="zh-CN"/>
        </w:rPr>
        <w:t>（4）具备一定的创新能力、全球化意识和国际视野，具有自主学习和终身学习的意识和能力。</w:t>
      </w:r>
    </w:p>
    <w:p w14:paraId="1102BC59">
      <w:pPr>
        <w:spacing w:line="360" w:lineRule="auto"/>
        <w:rPr>
          <w:rFonts w:ascii="Times New Roman" w:hAnsi="Times New Roman" w:eastAsia="宋体" w:cs="Times New Roman"/>
          <w:b/>
          <w:sz w:val="28"/>
          <w:szCs w:val="28"/>
          <w:lang w:eastAsia="zh-CN"/>
        </w:rPr>
      </w:pPr>
      <w:r>
        <w:rPr>
          <w:rFonts w:ascii="Times New Roman" w:hAnsi="Times New Roman" w:eastAsia="宋体" w:cs="Times New Roman"/>
          <w:b/>
          <w:sz w:val="28"/>
          <w:szCs w:val="28"/>
          <w:lang w:eastAsia="zh-CN"/>
        </w:rPr>
        <w:t>二、招生对象与条件（对学生所在学科和专业、前置课程等的要求）</w:t>
      </w:r>
    </w:p>
    <w:p w14:paraId="40C74BC4">
      <w:pPr>
        <w:spacing w:line="360" w:lineRule="auto"/>
        <w:ind w:firstLine="480" w:firstLineChars="200"/>
        <w:jc w:val="both"/>
        <w:rPr>
          <w:rFonts w:ascii="Times New Roman" w:hAnsi="Times New Roman" w:eastAsia="宋体" w:cs="Times New Roman"/>
          <w:sz w:val="24"/>
          <w:szCs w:val="24"/>
          <w:lang w:eastAsia="zh-CN"/>
        </w:rPr>
      </w:pPr>
      <w:r>
        <w:rPr>
          <w:rFonts w:ascii="宋体" w:hAnsi="宋体" w:eastAsia="宋体" w:cs="宋体"/>
          <w:sz w:val="24"/>
          <w:szCs w:val="24"/>
          <w:lang w:eastAsia="zh-CN"/>
        </w:rPr>
        <w:t>“本专业+”项目面</w:t>
      </w:r>
      <w:r>
        <w:rPr>
          <w:rFonts w:ascii="Times New Roman" w:hAnsi="Times New Roman" w:eastAsia="宋体" w:cs="Times New Roman"/>
          <w:sz w:val="24"/>
          <w:szCs w:val="24"/>
          <w:lang w:eastAsia="zh-CN"/>
        </w:rPr>
        <w:t>向</w:t>
      </w:r>
      <w:r>
        <w:rPr>
          <w:rFonts w:hint="eastAsia" w:ascii="Times New Roman" w:hAnsi="Times New Roman" w:eastAsia="宋体" w:cs="Times New Roman"/>
          <w:spacing w:val="-3"/>
          <w:sz w:val="24"/>
          <w:szCs w:val="24"/>
          <w:lang w:eastAsia="zh-CN"/>
        </w:rPr>
        <w:t>全</w:t>
      </w:r>
      <w:r>
        <w:rPr>
          <w:rFonts w:ascii="Times New Roman" w:hAnsi="Times New Roman" w:eastAsia="宋体" w:cs="Times New Roman"/>
          <w:spacing w:val="-3"/>
          <w:sz w:val="24"/>
          <w:szCs w:val="24"/>
          <w:lang w:eastAsia="zh-CN"/>
        </w:rPr>
        <w:t>校在籍</w:t>
      </w:r>
      <w:r>
        <w:rPr>
          <w:rFonts w:hint="eastAsia" w:ascii="Times New Roman" w:hAnsi="Times New Roman" w:eastAsia="宋体" w:cs="Times New Roman"/>
          <w:spacing w:val="-3"/>
          <w:sz w:val="24"/>
          <w:szCs w:val="24"/>
          <w:lang w:eastAsia="zh-CN"/>
        </w:rPr>
        <w:t>所有理工科</w:t>
      </w:r>
      <w:r>
        <w:rPr>
          <w:rFonts w:ascii="Times New Roman" w:hAnsi="Times New Roman" w:eastAsia="宋体" w:cs="Times New Roman"/>
          <w:spacing w:val="-3"/>
          <w:sz w:val="24"/>
          <w:szCs w:val="24"/>
          <w:lang w:eastAsia="zh-CN"/>
        </w:rPr>
        <w:t>专业</w:t>
      </w:r>
      <w:r>
        <w:rPr>
          <w:rFonts w:hint="eastAsia" w:ascii="Times New Roman" w:hAnsi="Times New Roman" w:eastAsia="宋体" w:cs="Times New Roman"/>
          <w:spacing w:val="-3"/>
          <w:sz w:val="24"/>
          <w:szCs w:val="24"/>
          <w:lang w:eastAsia="zh-CN"/>
        </w:rPr>
        <w:t>二</w:t>
      </w:r>
      <w:r>
        <w:rPr>
          <w:rFonts w:ascii="Times New Roman" w:hAnsi="Times New Roman" w:eastAsia="宋体" w:cs="Times New Roman"/>
          <w:spacing w:val="-3"/>
          <w:sz w:val="24"/>
          <w:szCs w:val="24"/>
          <w:lang w:eastAsia="zh-CN"/>
        </w:rPr>
        <w:t>年级</w:t>
      </w:r>
      <w:r>
        <w:rPr>
          <w:rFonts w:hint="eastAsia" w:ascii="Times New Roman" w:hAnsi="Times New Roman" w:eastAsia="宋体" w:cs="Times New Roman"/>
          <w:spacing w:val="-3"/>
          <w:sz w:val="24"/>
          <w:szCs w:val="24"/>
          <w:lang w:eastAsia="zh-CN"/>
        </w:rPr>
        <w:t>学生开设</w:t>
      </w:r>
      <w:r>
        <w:rPr>
          <w:rFonts w:ascii="Times New Roman" w:hAnsi="Times New Roman" w:eastAsia="宋体" w:cs="Times New Roman"/>
          <w:sz w:val="24"/>
          <w:szCs w:val="24"/>
          <w:lang w:eastAsia="zh-CN"/>
        </w:rPr>
        <w:t>，要求学生具备《</w:t>
      </w:r>
      <w:r>
        <w:rPr>
          <w:rFonts w:hint="eastAsia" w:ascii="Times New Roman" w:hAnsi="Times New Roman" w:eastAsia="宋体" w:cs="Times New Roman"/>
          <w:sz w:val="24"/>
          <w:szCs w:val="24"/>
          <w:lang w:eastAsia="zh-CN"/>
        </w:rPr>
        <w:t>绿色低碳与生态文明</w:t>
      </w:r>
      <w:r>
        <w:rPr>
          <w:rFonts w:ascii="Times New Roman" w:hAnsi="Times New Roman" w:eastAsia="宋体" w:cs="Times New Roman"/>
          <w:sz w:val="24"/>
          <w:szCs w:val="24"/>
          <w:lang w:eastAsia="zh-CN"/>
        </w:rPr>
        <w:t>》课程基础。</w:t>
      </w:r>
    </w:p>
    <w:p w14:paraId="11AA02F6">
      <w:pPr>
        <w:spacing w:line="360" w:lineRule="auto"/>
        <w:rPr>
          <w:rFonts w:ascii="Times New Roman" w:hAnsi="Times New Roman" w:eastAsia="宋体" w:cs="Times New Roman"/>
          <w:b/>
          <w:sz w:val="28"/>
          <w:szCs w:val="28"/>
          <w:lang w:eastAsia="zh-CN"/>
        </w:rPr>
      </w:pPr>
      <w:r>
        <w:rPr>
          <w:rFonts w:ascii="Times New Roman" w:hAnsi="Times New Roman" w:eastAsia="宋体" w:cs="Times New Roman"/>
          <w:b/>
          <w:sz w:val="28"/>
          <w:szCs w:val="28"/>
          <w:lang w:eastAsia="zh-CN"/>
        </w:rPr>
        <w:t>三、培养周期</w:t>
      </w:r>
    </w:p>
    <w:p w14:paraId="6D580EC0">
      <w:pPr>
        <w:spacing w:line="360" w:lineRule="auto"/>
        <w:ind w:firstLine="480" w:firstLineChars="200"/>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2</w:t>
      </w:r>
      <w:r>
        <w:rPr>
          <w:rFonts w:ascii="Times New Roman" w:hAnsi="Times New Roman" w:eastAsia="宋体" w:cs="Times New Roman"/>
          <w:sz w:val="24"/>
          <w:szCs w:val="24"/>
          <w:lang w:eastAsia="zh-CN"/>
        </w:rPr>
        <w:t>年。</w:t>
      </w:r>
    </w:p>
    <w:p w14:paraId="3602B248">
      <w:pPr>
        <w:spacing w:line="360" w:lineRule="auto"/>
        <w:ind w:firstLine="562" w:firstLineChars="200"/>
        <w:rPr>
          <w:rFonts w:ascii="Times New Roman" w:hAnsi="Times New Roman" w:eastAsia="宋体" w:cs="Times New Roman"/>
          <w:b/>
          <w:sz w:val="28"/>
          <w:szCs w:val="28"/>
          <w:lang w:eastAsia="zh-CN"/>
        </w:rPr>
      </w:pPr>
      <w:r>
        <w:rPr>
          <w:rFonts w:ascii="Times New Roman" w:hAnsi="Times New Roman" w:eastAsia="宋体" w:cs="Times New Roman"/>
          <w:b/>
          <w:sz w:val="28"/>
          <w:szCs w:val="28"/>
          <w:lang w:eastAsia="zh-CN"/>
        </w:rPr>
        <w:t>四、成绩与证书</w:t>
      </w:r>
    </w:p>
    <w:p w14:paraId="6418688C">
      <w:pPr>
        <w:spacing w:line="360"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学生在毕业前，修满本培养方案规定的12学分，颁发环境工程专业+绿色低碳技术项目证书。</w:t>
      </w:r>
    </w:p>
    <w:p w14:paraId="0DB76AE6">
      <w:pPr>
        <w:spacing w:line="360" w:lineRule="auto"/>
        <w:ind w:firstLine="562" w:firstLineChars="200"/>
        <w:rPr>
          <w:rFonts w:ascii="Times New Roman" w:hAnsi="Times New Roman" w:eastAsia="宋体" w:cs="Times New Roman"/>
          <w:b/>
          <w:sz w:val="28"/>
          <w:szCs w:val="28"/>
          <w:lang w:eastAsia="zh-CN"/>
        </w:rPr>
      </w:pPr>
      <w:r>
        <w:rPr>
          <w:rFonts w:ascii="Times New Roman" w:hAnsi="Times New Roman" w:eastAsia="宋体" w:cs="Times New Roman"/>
          <w:b/>
          <w:sz w:val="28"/>
          <w:szCs w:val="28"/>
          <w:lang w:eastAsia="zh-CN"/>
        </w:rPr>
        <w:t>五、课程设置</w:t>
      </w:r>
    </w:p>
    <w:p w14:paraId="79EAA1F8">
      <w:pPr>
        <w:spacing w:line="360" w:lineRule="auto"/>
        <w:jc w:val="center"/>
        <w:rPr>
          <w:rFonts w:ascii="Times New Roman" w:hAnsi="Times New Roman" w:eastAsia="宋体" w:cs="Times New Roman"/>
          <w:b/>
          <w:sz w:val="24"/>
          <w:lang w:eastAsia="zh-CN"/>
        </w:rPr>
      </w:pPr>
      <w:r>
        <w:rPr>
          <w:rFonts w:ascii="宋体" w:hAnsi="宋体" w:eastAsia="宋体" w:cs="宋体"/>
          <w:b/>
          <w:bCs/>
          <w:sz w:val="24"/>
          <w:szCs w:val="24"/>
          <w:lang w:eastAsia="zh-CN"/>
        </w:rPr>
        <w:t>“环境工程专业+绿色低碳技术”项</w:t>
      </w:r>
      <w:r>
        <w:rPr>
          <w:rFonts w:ascii="Times New Roman" w:hAnsi="Times New Roman" w:eastAsia="宋体" w:cs="Times New Roman"/>
          <w:b/>
          <w:sz w:val="24"/>
          <w:lang w:eastAsia="zh-CN"/>
        </w:rPr>
        <w:t>目课程设置及教学进程计划表</w:t>
      </w:r>
    </w:p>
    <w:tbl>
      <w:tblPr>
        <w:tblStyle w:val="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795"/>
        <w:gridCol w:w="1204"/>
        <w:gridCol w:w="841"/>
        <w:gridCol w:w="841"/>
        <w:gridCol w:w="721"/>
        <w:gridCol w:w="852"/>
        <w:gridCol w:w="910"/>
        <w:gridCol w:w="845"/>
        <w:gridCol w:w="864"/>
      </w:tblGrid>
      <w:tr w14:paraId="1443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vMerge w:val="restart"/>
            <w:vAlign w:val="center"/>
          </w:tcPr>
          <w:p w14:paraId="15B24086">
            <w:pPr>
              <w:spacing w:line="360" w:lineRule="auto"/>
              <w:jc w:val="center"/>
              <w:rPr>
                <w:rFonts w:ascii="Times New Roman" w:hAnsi="Times New Roman" w:eastAsia="宋体" w:cs="Times New Roman"/>
                <w:bCs/>
                <w:sz w:val="24"/>
                <w:szCs w:val="24"/>
              </w:rPr>
            </w:pPr>
            <w:r>
              <w:rPr>
                <w:rFonts w:ascii="Times New Roman" w:hAnsi="Times New Roman" w:eastAsia="宋体" w:cs="Times New Roman"/>
                <w:bCs/>
                <w:sz w:val="24"/>
                <w:szCs w:val="24"/>
              </w:rPr>
              <w:t>序号</w:t>
            </w:r>
          </w:p>
        </w:tc>
        <w:tc>
          <w:tcPr>
            <w:tcW w:w="1174" w:type="pct"/>
            <w:gridSpan w:val="2"/>
            <w:vMerge w:val="restart"/>
            <w:vAlign w:val="center"/>
          </w:tcPr>
          <w:p w14:paraId="33D8D554">
            <w:pPr>
              <w:spacing w:line="360" w:lineRule="auto"/>
              <w:jc w:val="center"/>
              <w:rPr>
                <w:rFonts w:ascii="Times New Roman" w:hAnsi="Times New Roman" w:eastAsia="宋体" w:cs="Times New Roman"/>
                <w:bCs/>
                <w:spacing w:val="20"/>
                <w:sz w:val="24"/>
                <w:szCs w:val="24"/>
              </w:rPr>
            </w:pPr>
            <w:r>
              <w:rPr>
                <w:rFonts w:ascii="Times New Roman" w:hAnsi="Times New Roman" w:eastAsia="宋体" w:cs="Times New Roman"/>
                <w:bCs/>
                <w:sz w:val="24"/>
                <w:szCs w:val="24"/>
              </w:rPr>
              <w:t>课程名称</w:t>
            </w:r>
          </w:p>
        </w:tc>
        <w:tc>
          <w:tcPr>
            <w:tcW w:w="494" w:type="pct"/>
            <w:vMerge w:val="restart"/>
            <w:vAlign w:val="center"/>
          </w:tcPr>
          <w:p w14:paraId="639B36FD">
            <w:pPr>
              <w:spacing w:line="360" w:lineRule="auto"/>
              <w:jc w:val="center"/>
              <w:rPr>
                <w:rFonts w:ascii="Times New Roman" w:hAnsi="Times New Roman" w:eastAsia="宋体" w:cs="Times New Roman"/>
                <w:bCs/>
                <w:spacing w:val="20"/>
                <w:sz w:val="24"/>
                <w:szCs w:val="24"/>
              </w:rPr>
            </w:pPr>
            <w:r>
              <w:rPr>
                <w:rFonts w:ascii="Times New Roman" w:hAnsi="Times New Roman" w:eastAsia="宋体" w:cs="Times New Roman"/>
                <w:bCs/>
                <w:sz w:val="24"/>
                <w:szCs w:val="24"/>
              </w:rPr>
              <w:t>学分</w:t>
            </w:r>
          </w:p>
        </w:tc>
        <w:tc>
          <w:tcPr>
            <w:tcW w:w="1417" w:type="pct"/>
            <w:gridSpan w:val="3"/>
          </w:tcPr>
          <w:p w14:paraId="1CA8558F">
            <w:pPr>
              <w:spacing w:line="360" w:lineRule="auto"/>
              <w:jc w:val="center"/>
              <w:rPr>
                <w:rFonts w:ascii="Times New Roman" w:hAnsi="Times New Roman" w:eastAsia="宋体" w:cs="Times New Roman"/>
                <w:bCs/>
                <w:spacing w:val="20"/>
                <w:sz w:val="24"/>
                <w:szCs w:val="24"/>
              </w:rPr>
            </w:pPr>
            <w:r>
              <w:rPr>
                <w:rFonts w:ascii="Times New Roman" w:hAnsi="Times New Roman" w:eastAsia="宋体" w:cs="Times New Roman"/>
                <w:bCs/>
                <w:spacing w:val="30"/>
                <w:kern w:val="0"/>
                <w:sz w:val="24"/>
                <w:szCs w:val="24"/>
                <w:fitText w:val="840" w:id="1038096535"/>
              </w:rPr>
              <w:t>学时</w:t>
            </w:r>
            <w:r>
              <w:rPr>
                <w:rFonts w:ascii="Times New Roman" w:hAnsi="Times New Roman" w:eastAsia="宋体" w:cs="Times New Roman"/>
                <w:bCs/>
                <w:spacing w:val="0"/>
                <w:kern w:val="0"/>
                <w:sz w:val="24"/>
                <w:szCs w:val="24"/>
                <w:fitText w:val="840" w:id="1038096535"/>
              </w:rPr>
              <w:t>数</w:t>
            </w:r>
          </w:p>
        </w:tc>
        <w:tc>
          <w:tcPr>
            <w:tcW w:w="534" w:type="pct"/>
            <w:vMerge w:val="restart"/>
            <w:vAlign w:val="center"/>
          </w:tcPr>
          <w:p w14:paraId="2FFA46D4">
            <w:pPr>
              <w:spacing w:line="360" w:lineRule="auto"/>
              <w:jc w:val="center"/>
              <w:rPr>
                <w:rFonts w:ascii="Times New Roman" w:hAnsi="Times New Roman" w:eastAsia="宋体" w:cs="Times New Roman"/>
                <w:bCs/>
                <w:spacing w:val="20"/>
                <w:sz w:val="24"/>
                <w:szCs w:val="24"/>
                <w:lang w:eastAsia="zh-CN"/>
              </w:rPr>
            </w:pPr>
            <w:r>
              <w:rPr>
                <w:rFonts w:ascii="Times New Roman" w:hAnsi="Times New Roman" w:eastAsia="宋体" w:cs="Times New Roman"/>
                <w:bCs/>
                <w:spacing w:val="20"/>
                <w:sz w:val="24"/>
                <w:szCs w:val="24"/>
                <w:lang w:eastAsia="zh-CN"/>
              </w:rPr>
              <w:t>授课方式（混合、线下）</w:t>
            </w:r>
          </w:p>
        </w:tc>
        <w:tc>
          <w:tcPr>
            <w:tcW w:w="494" w:type="pct"/>
            <w:vMerge w:val="restart"/>
            <w:vAlign w:val="center"/>
          </w:tcPr>
          <w:p w14:paraId="58C45C38">
            <w:pPr>
              <w:spacing w:line="360" w:lineRule="auto"/>
              <w:jc w:val="center"/>
              <w:rPr>
                <w:rFonts w:ascii="Times New Roman" w:hAnsi="Times New Roman" w:eastAsia="宋体" w:cs="Times New Roman"/>
                <w:bCs/>
                <w:spacing w:val="20"/>
                <w:sz w:val="24"/>
                <w:szCs w:val="24"/>
              </w:rPr>
            </w:pPr>
            <w:r>
              <w:rPr>
                <w:rFonts w:ascii="Times New Roman" w:hAnsi="Times New Roman" w:eastAsia="宋体" w:cs="Times New Roman"/>
                <w:bCs/>
                <w:spacing w:val="20"/>
                <w:sz w:val="24"/>
                <w:szCs w:val="24"/>
              </w:rPr>
              <w:t>开课</w:t>
            </w:r>
          </w:p>
          <w:p w14:paraId="5112FF92">
            <w:pPr>
              <w:spacing w:line="360" w:lineRule="auto"/>
              <w:jc w:val="center"/>
              <w:rPr>
                <w:rFonts w:ascii="Times New Roman" w:hAnsi="Times New Roman" w:eastAsia="宋体" w:cs="Times New Roman"/>
                <w:bCs/>
                <w:spacing w:val="20"/>
                <w:sz w:val="24"/>
                <w:szCs w:val="24"/>
              </w:rPr>
            </w:pPr>
            <w:r>
              <w:rPr>
                <w:rFonts w:ascii="Times New Roman" w:hAnsi="Times New Roman" w:eastAsia="宋体" w:cs="Times New Roman"/>
                <w:bCs/>
                <w:spacing w:val="20"/>
                <w:sz w:val="24"/>
                <w:szCs w:val="24"/>
              </w:rPr>
              <w:t>学期</w:t>
            </w:r>
          </w:p>
        </w:tc>
        <w:tc>
          <w:tcPr>
            <w:tcW w:w="507" w:type="pct"/>
            <w:vMerge w:val="restart"/>
            <w:vAlign w:val="center"/>
          </w:tcPr>
          <w:p w14:paraId="3B0C088F">
            <w:pPr>
              <w:spacing w:line="360" w:lineRule="auto"/>
              <w:jc w:val="center"/>
              <w:rPr>
                <w:rFonts w:ascii="Times New Roman" w:hAnsi="Times New Roman" w:eastAsia="宋体" w:cs="Times New Roman"/>
                <w:bCs/>
                <w:spacing w:val="20"/>
                <w:sz w:val="24"/>
                <w:szCs w:val="24"/>
                <w:lang w:eastAsia="zh-CN"/>
              </w:rPr>
            </w:pPr>
            <w:r>
              <w:rPr>
                <w:rFonts w:ascii="Times New Roman" w:hAnsi="Times New Roman" w:eastAsia="宋体" w:cs="Times New Roman"/>
                <w:bCs/>
                <w:spacing w:val="20"/>
                <w:sz w:val="24"/>
                <w:szCs w:val="24"/>
                <w:lang w:eastAsia="zh-CN"/>
              </w:rPr>
              <w:t>考核方式</w:t>
            </w:r>
          </w:p>
        </w:tc>
      </w:tr>
      <w:tr w14:paraId="65EC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vMerge w:val="continue"/>
          </w:tcPr>
          <w:p w14:paraId="729E5210">
            <w:pPr>
              <w:spacing w:line="360" w:lineRule="auto"/>
              <w:jc w:val="center"/>
              <w:rPr>
                <w:rFonts w:ascii="Times New Roman" w:hAnsi="Times New Roman" w:eastAsia="宋体" w:cs="Times New Roman"/>
                <w:b/>
                <w:spacing w:val="20"/>
                <w:sz w:val="24"/>
                <w:szCs w:val="24"/>
              </w:rPr>
            </w:pPr>
          </w:p>
        </w:tc>
        <w:tc>
          <w:tcPr>
            <w:tcW w:w="1174" w:type="pct"/>
            <w:gridSpan w:val="2"/>
            <w:vMerge w:val="continue"/>
            <w:vAlign w:val="center"/>
          </w:tcPr>
          <w:p w14:paraId="29AC97A6">
            <w:pPr>
              <w:spacing w:line="360" w:lineRule="auto"/>
              <w:jc w:val="center"/>
              <w:rPr>
                <w:rFonts w:ascii="Times New Roman" w:hAnsi="Times New Roman" w:eastAsia="宋体" w:cs="Times New Roman"/>
                <w:b/>
                <w:spacing w:val="20"/>
                <w:sz w:val="24"/>
                <w:szCs w:val="24"/>
              </w:rPr>
            </w:pPr>
          </w:p>
        </w:tc>
        <w:tc>
          <w:tcPr>
            <w:tcW w:w="494" w:type="pct"/>
            <w:vMerge w:val="continue"/>
            <w:vAlign w:val="center"/>
          </w:tcPr>
          <w:p w14:paraId="6D11EE65">
            <w:pPr>
              <w:spacing w:line="360" w:lineRule="auto"/>
              <w:jc w:val="center"/>
              <w:rPr>
                <w:rFonts w:ascii="Times New Roman" w:hAnsi="Times New Roman" w:eastAsia="宋体" w:cs="Times New Roman"/>
                <w:b/>
                <w:spacing w:val="20"/>
                <w:sz w:val="24"/>
                <w:szCs w:val="24"/>
              </w:rPr>
            </w:pPr>
          </w:p>
        </w:tc>
        <w:tc>
          <w:tcPr>
            <w:tcW w:w="494" w:type="pct"/>
            <w:vAlign w:val="center"/>
          </w:tcPr>
          <w:p w14:paraId="7B0B839C">
            <w:pPr>
              <w:spacing w:line="360" w:lineRule="auto"/>
              <w:jc w:val="center"/>
              <w:rPr>
                <w:rFonts w:ascii="Times New Roman" w:hAnsi="Times New Roman" w:eastAsia="宋体" w:cs="Times New Roman"/>
                <w:bCs/>
                <w:spacing w:val="20"/>
                <w:sz w:val="24"/>
                <w:szCs w:val="24"/>
              </w:rPr>
            </w:pPr>
            <w:r>
              <w:rPr>
                <w:rFonts w:ascii="Times New Roman" w:hAnsi="Times New Roman" w:eastAsia="宋体" w:cs="Times New Roman"/>
                <w:bCs/>
                <w:sz w:val="24"/>
                <w:szCs w:val="24"/>
              </w:rPr>
              <w:t>总学时</w:t>
            </w:r>
          </w:p>
        </w:tc>
        <w:tc>
          <w:tcPr>
            <w:tcW w:w="423" w:type="pct"/>
            <w:vAlign w:val="center"/>
          </w:tcPr>
          <w:p w14:paraId="14CD2AD8">
            <w:pPr>
              <w:spacing w:line="360" w:lineRule="auto"/>
              <w:jc w:val="center"/>
              <w:rPr>
                <w:rFonts w:ascii="Times New Roman" w:hAnsi="Times New Roman" w:eastAsia="宋体" w:cs="Times New Roman"/>
                <w:bCs/>
                <w:sz w:val="24"/>
                <w:szCs w:val="24"/>
              </w:rPr>
            </w:pPr>
            <w:r>
              <w:rPr>
                <w:rFonts w:ascii="Times New Roman" w:hAnsi="Times New Roman" w:eastAsia="宋体" w:cs="Times New Roman"/>
                <w:bCs/>
                <w:sz w:val="24"/>
                <w:szCs w:val="24"/>
              </w:rPr>
              <w:t>理论</w:t>
            </w:r>
          </w:p>
          <w:p w14:paraId="3231D373">
            <w:pPr>
              <w:spacing w:line="360" w:lineRule="auto"/>
              <w:jc w:val="center"/>
              <w:rPr>
                <w:rFonts w:ascii="Times New Roman" w:hAnsi="Times New Roman" w:eastAsia="宋体" w:cs="Times New Roman"/>
                <w:bCs/>
                <w:spacing w:val="20"/>
                <w:sz w:val="24"/>
                <w:szCs w:val="24"/>
              </w:rPr>
            </w:pPr>
            <w:r>
              <w:rPr>
                <w:rFonts w:ascii="Times New Roman" w:hAnsi="Times New Roman" w:eastAsia="宋体" w:cs="Times New Roman"/>
                <w:bCs/>
                <w:sz w:val="24"/>
                <w:szCs w:val="24"/>
              </w:rPr>
              <w:t>学时</w:t>
            </w:r>
          </w:p>
        </w:tc>
        <w:tc>
          <w:tcPr>
            <w:tcW w:w="499" w:type="pct"/>
            <w:vAlign w:val="center"/>
          </w:tcPr>
          <w:p w14:paraId="1D348738">
            <w:pPr>
              <w:spacing w:line="360" w:lineRule="auto"/>
              <w:jc w:val="center"/>
              <w:rPr>
                <w:rFonts w:ascii="Times New Roman" w:hAnsi="Times New Roman" w:eastAsia="宋体" w:cs="Times New Roman"/>
                <w:bCs/>
                <w:sz w:val="24"/>
                <w:szCs w:val="24"/>
              </w:rPr>
            </w:pPr>
            <w:r>
              <w:rPr>
                <w:rFonts w:ascii="Times New Roman" w:hAnsi="Times New Roman" w:eastAsia="宋体" w:cs="Times New Roman"/>
                <w:bCs/>
                <w:sz w:val="24"/>
                <w:szCs w:val="24"/>
              </w:rPr>
              <w:t>实践</w:t>
            </w:r>
          </w:p>
          <w:p w14:paraId="68C67340">
            <w:pPr>
              <w:spacing w:line="360" w:lineRule="auto"/>
              <w:jc w:val="center"/>
              <w:rPr>
                <w:rFonts w:ascii="Times New Roman" w:hAnsi="Times New Roman" w:eastAsia="宋体" w:cs="Times New Roman"/>
                <w:bCs/>
                <w:spacing w:val="20"/>
                <w:sz w:val="24"/>
                <w:szCs w:val="24"/>
              </w:rPr>
            </w:pPr>
            <w:r>
              <w:rPr>
                <w:rFonts w:ascii="Times New Roman" w:hAnsi="Times New Roman" w:eastAsia="宋体" w:cs="Times New Roman"/>
                <w:bCs/>
                <w:sz w:val="24"/>
                <w:szCs w:val="24"/>
              </w:rPr>
              <w:t>学时</w:t>
            </w:r>
          </w:p>
        </w:tc>
        <w:tc>
          <w:tcPr>
            <w:tcW w:w="534" w:type="pct"/>
            <w:vMerge w:val="continue"/>
            <w:vAlign w:val="center"/>
          </w:tcPr>
          <w:p w14:paraId="664A7B65">
            <w:pPr>
              <w:spacing w:line="360" w:lineRule="auto"/>
              <w:jc w:val="center"/>
              <w:rPr>
                <w:rFonts w:ascii="Times New Roman" w:hAnsi="Times New Roman" w:eastAsia="宋体" w:cs="Times New Roman"/>
                <w:b/>
                <w:spacing w:val="20"/>
                <w:sz w:val="24"/>
                <w:szCs w:val="24"/>
              </w:rPr>
            </w:pPr>
          </w:p>
        </w:tc>
        <w:tc>
          <w:tcPr>
            <w:tcW w:w="494" w:type="pct"/>
            <w:vMerge w:val="continue"/>
            <w:vAlign w:val="center"/>
          </w:tcPr>
          <w:p w14:paraId="1B7C7209">
            <w:pPr>
              <w:spacing w:line="360" w:lineRule="auto"/>
              <w:jc w:val="center"/>
              <w:rPr>
                <w:rFonts w:ascii="Times New Roman" w:hAnsi="Times New Roman" w:eastAsia="宋体" w:cs="Times New Roman"/>
                <w:b/>
                <w:spacing w:val="20"/>
              </w:rPr>
            </w:pPr>
          </w:p>
        </w:tc>
        <w:tc>
          <w:tcPr>
            <w:tcW w:w="507" w:type="pct"/>
            <w:vMerge w:val="continue"/>
            <w:vAlign w:val="center"/>
          </w:tcPr>
          <w:p w14:paraId="677A4D92">
            <w:pPr>
              <w:spacing w:line="360" w:lineRule="auto"/>
              <w:jc w:val="center"/>
              <w:rPr>
                <w:rFonts w:ascii="Times New Roman" w:hAnsi="Times New Roman" w:eastAsia="宋体" w:cs="Times New Roman"/>
                <w:b/>
                <w:spacing w:val="20"/>
              </w:rPr>
            </w:pPr>
          </w:p>
        </w:tc>
      </w:tr>
      <w:tr w14:paraId="115C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vAlign w:val="center"/>
          </w:tcPr>
          <w:p w14:paraId="01FA7F72">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1</w:t>
            </w:r>
          </w:p>
        </w:tc>
        <w:tc>
          <w:tcPr>
            <w:tcW w:w="1174" w:type="pct"/>
            <w:gridSpan w:val="2"/>
            <w:vAlign w:val="center"/>
          </w:tcPr>
          <w:p w14:paraId="7A18A465">
            <w:pPr>
              <w:spacing w:line="360" w:lineRule="auto"/>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碳中和概论</w:t>
            </w:r>
          </w:p>
        </w:tc>
        <w:tc>
          <w:tcPr>
            <w:tcW w:w="494" w:type="pct"/>
            <w:vAlign w:val="center"/>
          </w:tcPr>
          <w:p w14:paraId="080F0DD3">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2</w:t>
            </w:r>
          </w:p>
        </w:tc>
        <w:tc>
          <w:tcPr>
            <w:tcW w:w="494" w:type="pct"/>
            <w:vAlign w:val="center"/>
          </w:tcPr>
          <w:p w14:paraId="52874DF4">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32</w:t>
            </w:r>
          </w:p>
        </w:tc>
        <w:tc>
          <w:tcPr>
            <w:tcW w:w="423" w:type="pct"/>
            <w:vAlign w:val="center"/>
          </w:tcPr>
          <w:p w14:paraId="281AE7CB">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32</w:t>
            </w:r>
          </w:p>
        </w:tc>
        <w:tc>
          <w:tcPr>
            <w:tcW w:w="499" w:type="pct"/>
            <w:vAlign w:val="center"/>
          </w:tcPr>
          <w:p w14:paraId="5B9C7FD2">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w:t>
            </w:r>
          </w:p>
        </w:tc>
        <w:tc>
          <w:tcPr>
            <w:tcW w:w="534" w:type="pct"/>
            <w:vAlign w:val="center"/>
          </w:tcPr>
          <w:p w14:paraId="278F20A5">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pacing w:val="20"/>
                <w:sz w:val="24"/>
                <w:szCs w:val="24"/>
              </w:rPr>
              <w:t>混合</w:t>
            </w:r>
          </w:p>
        </w:tc>
        <w:tc>
          <w:tcPr>
            <w:tcW w:w="494" w:type="pct"/>
            <w:vAlign w:val="center"/>
          </w:tcPr>
          <w:p w14:paraId="5BFBF427">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秋1</w:t>
            </w:r>
          </w:p>
        </w:tc>
        <w:tc>
          <w:tcPr>
            <w:tcW w:w="507" w:type="pct"/>
            <w:vAlign w:val="center"/>
          </w:tcPr>
          <w:p w14:paraId="7E64D183">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考查</w:t>
            </w:r>
          </w:p>
        </w:tc>
      </w:tr>
      <w:tr w14:paraId="1FA4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vAlign w:val="center"/>
          </w:tcPr>
          <w:p w14:paraId="4961E74F">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2</w:t>
            </w:r>
          </w:p>
        </w:tc>
        <w:tc>
          <w:tcPr>
            <w:tcW w:w="1174" w:type="pct"/>
            <w:gridSpan w:val="2"/>
            <w:vAlign w:val="center"/>
          </w:tcPr>
          <w:p w14:paraId="5919401A">
            <w:pPr>
              <w:spacing w:line="360" w:lineRule="auto"/>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智慧低碳社区建设</w:t>
            </w:r>
          </w:p>
        </w:tc>
        <w:tc>
          <w:tcPr>
            <w:tcW w:w="494" w:type="pct"/>
            <w:vAlign w:val="center"/>
          </w:tcPr>
          <w:p w14:paraId="73C02B74">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2</w:t>
            </w:r>
          </w:p>
        </w:tc>
        <w:tc>
          <w:tcPr>
            <w:tcW w:w="494" w:type="pct"/>
            <w:vAlign w:val="center"/>
          </w:tcPr>
          <w:p w14:paraId="1866CCF3">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32</w:t>
            </w:r>
          </w:p>
        </w:tc>
        <w:tc>
          <w:tcPr>
            <w:tcW w:w="423" w:type="pct"/>
            <w:vAlign w:val="center"/>
          </w:tcPr>
          <w:p w14:paraId="616E322D">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28</w:t>
            </w:r>
          </w:p>
        </w:tc>
        <w:tc>
          <w:tcPr>
            <w:tcW w:w="499" w:type="pct"/>
            <w:vAlign w:val="center"/>
          </w:tcPr>
          <w:p w14:paraId="3DC11B83">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4</w:t>
            </w:r>
          </w:p>
        </w:tc>
        <w:tc>
          <w:tcPr>
            <w:tcW w:w="534" w:type="pct"/>
            <w:vAlign w:val="center"/>
          </w:tcPr>
          <w:p w14:paraId="16D488D6">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pacing w:val="20"/>
                <w:sz w:val="24"/>
                <w:szCs w:val="24"/>
              </w:rPr>
              <w:t>混合</w:t>
            </w:r>
          </w:p>
        </w:tc>
        <w:tc>
          <w:tcPr>
            <w:tcW w:w="494" w:type="pct"/>
            <w:vAlign w:val="center"/>
          </w:tcPr>
          <w:p w14:paraId="7503D2AC">
            <w:pPr>
              <w:spacing w:line="360" w:lineRule="auto"/>
              <w:jc w:val="center"/>
              <w:rPr>
                <w:rFonts w:ascii="Times New Roman" w:hAnsi="Times New Roman" w:eastAsia="宋体" w:cs="Times New Roman"/>
                <w:bCs/>
                <w:sz w:val="24"/>
                <w:szCs w:val="24"/>
                <w:lang w:eastAsia="zh-CN"/>
              </w:rPr>
            </w:pPr>
            <w:r>
              <w:rPr>
                <w:rFonts w:hint="eastAsia" w:ascii="Times New Roman" w:hAnsi="Times New Roman" w:eastAsia="宋体" w:cs="Times New Roman"/>
                <w:bCs/>
                <w:sz w:val="24"/>
                <w:szCs w:val="24"/>
                <w:lang w:eastAsia="zh-CN"/>
              </w:rPr>
              <w:t>春1</w:t>
            </w:r>
          </w:p>
        </w:tc>
        <w:tc>
          <w:tcPr>
            <w:tcW w:w="507" w:type="pct"/>
            <w:vAlign w:val="center"/>
          </w:tcPr>
          <w:p w14:paraId="6543234F">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考查</w:t>
            </w:r>
          </w:p>
        </w:tc>
      </w:tr>
      <w:tr w14:paraId="7A0F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vAlign w:val="center"/>
          </w:tcPr>
          <w:p w14:paraId="162EA9DC">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3</w:t>
            </w:r>
          </w:p>
        </w:tc>
        <w:tc>
          <w:tcPr>
            <w:tcW w:w="1174" w:type="pct"/>
            <w:gridSpan w:val="2"/>
            <w:vAlign w:val="center"/>
          </w:tcPr>
          <w:p w14:paraId="0FED8457">
            <w:pPr>
              <w:spacing w:line="360" w:lineRule="auto"/>
              <w:rPr>
                <w:rFonts w:ascii="Times New Roman" w:hAnsi="Times New Roman" w:eastAsia="宋体" w:cs="Times New Roman"/>
                <w:bCs/>
                <w:sz w:val="24"/>
                <w:szCs w:val="24"/>
                <w:lang w:eastAsia="zh-CN"/>
              </w:rPr>
            </w:pPr>
            <w:r>
              <w:rPr>
                <w:rFonts w:ascii="Times New Roman" w:hAnsi="Times New Roman" w:eastAsia="宋体" w:cs="Times New Roman"/>
                <w:bCs/>
                <w:sz w:val="24"/>
                <w:szCs w:val="24"/>
              </w:rPr>
              <w:t>低碳与可再生能源</w:t>
            </w:r>
          </w:p>
        </w:tc>
        <w:tc>
          <w:tcPr>
            <w:tcW w:w="494" w:type="pct"/>
            <w:vAlign w:val="center"/>
          </w:tcPr>
          <w:p w14:paraId="3307E820">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2</w:t>
            </w:r>
          </w:p>
        </w:tc>
        <w:tc>
          <w:tcPr>
            <w:tcW w:w="494" w:type="pct"/>
            <w:vAlign w:val="center"/>
          </w:tcPr>
          <w:p w14:paraId="3E38345D">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32</w:t>
            </w:r>
          </w:p>
        </w:tc>
        <w:tc>
          <w:tcPr>
            <w:tcW w:w="423" w:type="pct"/>
            <w:vAlign w:val="center"/>
          </w:tcPr>
          <w:p w14:paraId="1FE0C756">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28</w:t>
            </w:r>
          </w:p>
        </w:tc>
        <w:tc>
          <w:tcPr>
            <w:tcW w:w="499" w:type="pct"/>
            <w:vAlign w:val="center"/>
          </w:tcPr>
          <w:p w14:paraId="18A159C7">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4</w:t>
            </w:r>
          </w:p>
        </w:tc>
        <w:tc>
          <w:tcPr>
            <w:tcW w:w="534" w:type="pct"/>
            <w:vAlign w:val="center"/>
          </w:tcPr>
          <w:p w14:paraId="02B8992E">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pacing w:val="20"/>
                <w:sz w:val="24"/>
                <w:szCs w:val="24"/>
              </w:rPr>
              <w:t>混合</w:t>
            </w:r>
          </w:p>
        </w:tc>
        <w:tc>
          <w:tcPr>
            <w:tcW w:w="494" w:type="pct"/>
            <w:vAlign w:val="center"/>
          </w:tcPr>
          <w:p w14:paraId="2F269EC5">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春1</w:t>
            </w:r>
          </w:p>
        </w:tc>
        <w:tc>
          <w:tcPr>
            <w:tcW w:w="507" w:type="pct"/>
            <w:vAlign w:val="center"/>
          </w:tcPr>
          <w:p w14:paraId="280722D2">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考查</w:t>
            </w:r>
          </w:p>
        </w:tc>
      </w:tr>
      <w:tr w14:paraId="5744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vAlign w:val="center"/>
          </w:tcPr>
          <w:p w14:paraId="34D48867">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4</w:t>
            </w:r>
          </w:p>
        </w:tc>
        <w:tc>
          <w:tcPr>
            <w:tcW w:w="1174" w:type="pct"/>
            <w:gridSpan w:val="2"/>
            <w:vAlign w:val="center"/>
          </w:tcPr>
          <w:p w14:paraId="12B4CD4C">
            <w:pPr>
              <w:spacing w:line="360" w:lineRule="auto"/>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碳核算理论与实践</w:t>
            </w:r>
          </w:p>
        </w:tc>
        <w:tc>
          <w:tcPr>
            <w:tcW w:w="494" w:type="pct"/>
            <w:vAlign w:val="center"/>
          </w:tcPr>
          <w:p w14:paraId="438D90BD">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3</w:t>
            </w:r>
          </w:p>
        </w:tc>
        <w:tc>
          <w:tcPr>
            <w:tcW w:w="494" w:type="pct"/>
            <w:vAlign w:val="center"/>
          </w:tcPr>
          <w:p w14:paraId="387DA955">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48</w:t>
            </w:r>
          </w:p>
        </w:tc>
        <w:tc>
          <w:tcPr>
            <w:tcW w:w="423" w:type="pct"/>
            <w:vAlign w:val="center"/>
          </w:tcPr>
          <w:p w14:paraId="4BF06B5E">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42</w:t>
            </w:r>
          </w:p>
        </w:tc>
        <w:tc>
          <w:tcPr>
            <w:tcW w:w="499" w:type="pct"/>
            <w:vAlign w:val="center"/>
          </w:tcPr>
          <w:p w14:paraId="38C24E3B">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6</w:t>
            </w:r>
          </w:p>
        </w:tc>
        <w:tc>
          <w:tcPr>
            <w:tcW w:w="534" w:type="pct"/>
            <w:vAlign w:val="center"/>
          </w:tcPr>
          <w:p w14:paraId="590D8D76">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pacing w:val="20"/>
                <w:sz w:val="24"/>
                <w:szCs w:val="24"/>
              </w:rPr>
              <w:t>混合</w:t>
            </w:r>
          </w:p>
        </w:tc>
        <w:tc>
          <w:tcPr>
            <w:tcW w:w="494" w:type="pct"/>
            <w:vAlign w:val="center"/>
          </w:tcPr>
          <w:p w14:paraId="3D92D9BE">
            <w:pPr>
              <w:spacing w:line="360" w:lineRule="auto"/>
              <w:jc w:val="center"/>
              <w:rPr>
                <w:rFonts w:ascii="Times New Roman" w:hAnsi="Times New Roman" w:eastAsia="宋体" w:cs="Times New Roman"/>
                <w:bCs/>
                <w:sz w:val="24"/>
                <w:szCs w:val="24"/>
                <w:lang w:eastAsia="zh-CN"/>
              </w:rPr>
            </w:pPr>
            <w:r>
              <w:rPr>
                <w:rFonts w:hint="eastAsia" w:ascii="Times New Roman" w:hAnsi="Times New Roman" w:eastAsia="宋体" w:cs="Times New Roman"/>
                <w:bCs/>
                <w:sz w:val="24"/>
                <w:szCs w:val="24"/>
                <w:lang w:eastAsia="zh-CN"/>
              </w:rPr>
              <w:t>秋2</w:t>
            </w:r>
          </w:p>
        </w:tc>
        <w:tc>
          <w:tcPr>
            <w:tcW w:w="507" w:type="pct"/>
            <w:vAlign w:val="center"/>
          </w:tcPr>
          <w:p w14:paraId="130C6DC7">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考查</w:t>
            </w:r>
          </w:p>
        </w:tc>
      </w:tr>
      <w:tr w14:paraId="1995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vAlign w:val="center"/>
          </w:tcPr>
          <w:p w14:paraId="671831C6">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5</w:t>
            </w:r>
          </w:p>
        </w:tc>
        <w:tc>
          <w:tcPr>
            <w:tcW w:w="1174" w:type="pct"/>
            <w:gridSpan w:val="2"/>
            <w:vAlign w:val="center"/>
          </w:tcPr>
          <w:p w14:paraId="4A04DBBE">
            <w:pPr>
              <w:spacing w:line="360" w:lineRule="auto"/>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绿色低碳发展路径与实践</w:t>
            </w:r>
          </w:p>
        </w:tc>
        <w:tc>
          <w:tcPr>
            <w:tcW w:w="494" w:type="pct"/>
            <w:vAlign w:val="center"/>
          </w:tcPr>
          <w:p w14:paraId="478D5ADB">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3</w:t>
            </w:r>
          </w:p>
        </w:tc>
        <w:tc>
          <w:tcPr>
            <w:tcW w:w="494" w:type="pct"/>
            <w:vAlign w:val="center"/>
          </w:tcPr>
          <w:p w14:paraId="40E3C486">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48</w:t>
            </w:r>
          </w:p>
        </w:tc>
        <w:tc>
          <w:tcPr>
            <w:tcW w:w="423" w:type="pct"/>
            <w:vAlign w:val="center"/>
          </w:tcPr>
          <w:p w14:paraId="5E5DE917">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42</w:t>
            </w:r>
          </w:p>
        </w:tc>
        <w:tc>
          <w:tcPr>
            <w:tcW w:w="499" w:type="pct"/>
            <w:vAlign w:val="center"/>
          </w:tcPr>
          <w:p w14:paraId="798B2838">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6</w:t>
            </w:r>
          </w:p>
        </w:tc>
        <w:tc>
          <w:tcPr>
            <w:tcW w:w="534" w:type="pct"/>
            <w:vAlign w:val="center"/>
          </w:tcPr>
          <w:p w14:paraId="3B7CC305">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pacing w:val="20"/>
                <w:sz w:val="24"/>
                <w:szCs w:val="24"/>
              </w:rPr>
              <w:t>混合</w:t>
            </w:r>
          </w:p>
        </w:tc>
        <w:tc>
          <w:tcPr>
            <w:tcW w:w="494" w:type="pct"/>
            <w:vAlign w:val="center"/>
          </w:tcPr>
          <w:p w14:paraId="3DE2912B">
            <w:pPr>
              <w:spacing w:line="360" w:lineRule="auto"/>
              <w:jc w:val="center"/>
              <w:rPr>
                <w:rFonts w:ascii="Times New Roman" w:hAnsi="Times New Roman" w:eastAsia="宋体" w:cs="Times New Roman"/>
                <w:bCs/>
                <w:sz w:val="24"/>
                <w:szCs w:val="24"/>
                <w:lang w:eastAsia="zh-CN"/>
              </w:rPr>
            </w:pPr>
            <w:r>
              <w:rPr>
                <w:rFonts w:hint="eastAsia" w:ascii="Times New Roman" w:hAnsi="Times New Roman" w:eastAsia="宋体" w:cs="Times New Roman"/>
                <w:bCs/>
                <w:sz w:val="24"/>
                <w:szCs w:val="24"/>
                <w:lang w:eastAsia="zh-CN"/>
              </w:rPr>
              <w:t>春2</w:t>
            </w:r>
          </w:p>
        </w:tc>
        <w:tc>
          <w:tcPr>
            <w:tcW w:w="507" w:type="pct"/>
            <w:vAlign w:val="center"/>
          </w:tcPr>
          <w:p w14:paraId="08BDF7AE">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考查</w:t>
            </w:r>
          </w:p>
        </w:tc>
      </w:tr>
      <w:tr w14:paraId="6069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vAlign w:val="center"/>
          </w:tcPr>
          <w:p w14:paraId="5E962D4F">
            <w:pPr>
              <w:spacing w:line="360" w:lineRule="auto"/>
              <w:jc w:val="center"/>
              <w:rPr>
                <w:rFonts w:ascii="Times New Roman" w:hAnsi="Times New Roman" w:eastAsia="宋体" w:cs="Times New Roman"/>
                <w:bCs/>
                <w:sz w:val="24"/>
                <w:szCs w:val="24"/>
              </w:rPr>
            </w:pPr>
          </w:p>
        </w:tc>
        <w:tc>
          <w:tcPr>
            <w:tcW w:w="1174" w:type="pct"/>
            <w:gridSpan w:val="2"/>
            <w:vAlign w:val="center"/>
          </w:tcPr>
          <w:p w14:paraId="58D9D470">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rPr>
              <w:t>合计</w:t>
            </w:r>
          </w:p>
        </w:tc>
        <w:tc>
          <w:tcPr>
            <w:tcW w:w="494" w:type="pct"/>
            <w:vAlign w:val="center"/>
          </w:tcPr>
          <w:p w14:paraId="5D111E38">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12</w:t>
            </w:r>
          </w:p>
        </w:tc>
        <w:tc>
          <w:tcPr>
            <w:tcW w:w="494" w:type="pct"/>
            <w:vAlign w:val="center"/>
          </w:tcPr>
          <w:p w14:paraId="1591A216">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192</w:t>
            </w:r>
          </w:p>
        </w:tc>
        <w:tc>
          <w:tcPr>
            <w:tcW w:w="423" w:type="pct"/>
            <w:vAlign w:val="center"/>
          </w:tcPr>
          <w:p w14:paraId="3FEFB150">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172</w:t>
            </w:r>
          </w:p>
        </w:tc>
        <w:tc>
          <w:tcPr>
            <w:tcW w:w="499" w:type="pct"/>
            <w:vAlign w:val="center"/>
          </w:tcPr>
          <w:p w14:paraId="6EDE9FE0">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20</w:t>
            </w:r>
          </w:p>
        </w:tc>
        <w:tc>
          <w:tcPr>
            <w:tcW w:w="534" w:type="pct"/>
            <w:vAlign w:val="center"/>
          </w:tcPr>
          <w:p w14:paraId="06B3FEAC">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rPr>
              <w:t>-</w:t>
            </w:r>
          </w:p>
        </w:tc>
        <w:tc>
          <w:tcPr>
            <w:tcW w:w="494" w:type="pct"/>
            <w:vAlign w:val="center"/>
          </w:tcPr>
          <w:p w14:paraId="4B32024C">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rPr>
              <w:t>-</w:t>
            </w:r>
          </w:p>
        </w:tc>
        <w:tc>
          <w:tcPr>
            <w:tcW w:w="507" w:type="pct"/>
            <w:vAlign w:val="center"/>
          </w:tcPr>
          <w:p w14:paraId="09CF249D">
            <w:pPr>
              <w:spacing w:line="360" w:lineRule="auto"/>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w:t>
            </w:r>
          </w:p>
        </w:tc>
      </w:tr>
      <w:tr w14:paraId="5D82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1" w:hRule="atLeast"/>
          <w:jc w:val="center"/>
        </w:trPr>
        <w:tc>
          <w:tcPr>
            <w:tcW w:w="845" w:type="pct"/>
            <w:gridSpan w:val="2"/>
            <w:vMerge w:val="restart"/>
            <w:tcBorders>
              <w:top w:val="single" w:color="auto" w:sz="4" w:space="0"/>
            </w:tcBorders>
            <w:vAlign w:val="center"/>
          </w:tcPr>
          <w:p w14:paraId="719004C1">
            <w:pPr>
              <w:spacing w:line="360" w:lineRule="auto"/>
              <w:jc w:val="center"/>
              <w:rPr>
                <w:rFonts w:ascii="Times New Roman" w:hAnsi="Times New Roman" w:eastAsia="宋体" w:cs="Times New Roman"/>
                <w:b/>
                <w:spacing w:val="20"/>
                <w:sz w:val="24"/>
                <w:szCs w:val="24"/>
              </w:rPr>
            </w:pPr>
            <w:r>
              <w:rPr>
                <w:rFonts w:ascii="Times New Roman" w:hAnsi="Times New Roman" w:eastAsia="宋体" w:cs="Times New Roman"/>
                <w:b/>
                <w:spacing w:val="20"/>
                <w:sz w:val="24"/>
                <w:szCs w:val="24"/>
              </w:rPr>
              <w:t>课程</w:t>
            </w:r>
          </w:p>
          <w:p w14:paraId="030B0698">
            <w:pPr>
              <w:spacing w:line="360" w:lineRule="auto"/>
              <w:jc w:val="center"/>
              <w:rPr>
                <w:rFonts w:ascii="Times New Roman" w:hAnsi="Times New Roman" w:eastAsia="宋体" w:cs="Times New Roman"/>
                <w:b/>
                <w:spacing w:val="20"/>
                <w:sz w:val="24"/>
                <w:szCs w:val="24"/>
              </w:rPr>
            </w:pPr>
            <w:r>
              <w:rPr>
                <w:rFonts w:ascii="Times New Roman" w:hAnsi="Times New Roman" w:eastAsia="宋体" w:cs="Times New Roman"/>
                <w:b/>
                <w:spacing w:val="20"/>
                <w:sz w:val="24"/>
                <w:szCs w:val="24"/>
              </w:rPr>
              <w:t>简介</w:t>
            </w:r>
          </w:p>
        </w:tc>
        <w:tc>
          <w:tcPr>
            <w:tcW w:w="3647" w:type="pct"/>
            <w:gridSpan w:val="7"/>
            <w:tcBorders>
              <w:top w:val="single" w:color="auto" w:sz="4" w:space="0"/>
            </w:tcBorders>
          </w:tcPr>
          <w:p w14:paraId="36EE8396">
            <w:pPr>
              <w:kinsoku/>
              <w:autoSpaceDE/>
              <w:autoSpaceDN/>
              <w:spacing w:line="360" w:lineRule="auto"/>
              <w:jc w:val="both"/>
              <w:textAlignment w:val="auto"/>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课程1：碳中和概论</w:t>
            </w:r>
          </w:p>
          <w:p w14:paraId="26787946">
            <w:pPr>
              <w:kinsoku/>
              <w:autoSpaceDE/>
              <w:autoSpaceDN/>
              <w:spacing w:line="360" w:lineRule="auto"/>
              <w:ind w:firstLine="480" w:firstLineChars="200"/>
              <w:jc w:val="both"/>
              <w:textAlignment w:val="auto"/>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本课程针对碳中和推动经济社会发展的系统性变革，概述能源碳中和，氢能绿色制造、储运与利用，资源碳中和，信息碳中和，碳汇强化和负排放，碳市场，碳中和管理，碳中和工程及碳中和社会等。从理论、政策、工程、管理和学科交叉等多个层面阐述碳中和等相关知识，从多维度培养学生“双碳”意识。</w:t>
            </w:r>
          </w:p>
        </w:tc>
        <w:tc>
          <w:tcPr>
            <w:tcW w:w="507" w:type="pct"/>
            <w:tcBorders>
              <w:top w:val="single" w:color="auto" w:sz="4" w:space="0"/>
            </w:tcBorders>
          </w:tcPr>
          <w:p w14:paraId="6F2D09C8">
            <w:pPr>
              <w:spacing w:line="360" w:lineRule="auto"/>
              <w:rPr>
                <w:rFonts w:ascii="Times New Roman" w:hAnsi="Times New Roman" w:eastAsia="宋体" w:cs="Times New Roman"/>
                <w:bCs/>
                <w:sz w:val="24"/>
                <w:szCs w:val="24"/>
                <w:lang w:eastAsia="zh-CN"/>
              </w:rPr>
            </w:pPr>
          </w:p>
        </w:tc>
      </w:tr>
      <w:tr w14:paraId="5523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845" w:type="pct"/>
            <w:gridSpan w:val="2"/>
            <w:vMerge w:val="continue"/>
            <w:vAlign w:val="center"/>
          </w:tcPr>
          <w:p w14:paraId="453F852A">
            <w:pPr>
              <w:spacing w:line="360" w:lineRule="auto"/>
              <w:jc w:val="center"/>
              <w:rPr>
                <w:rFonts w:ascii="Times New Roman" w:hAnsi="Times New Roman" w:eastAsia="宋体" w:cs="Times New Roman"/>
                <w:b/>
                <w:spacing w:val="20"/>
                <w:sz w:val="24"/>
                <w:szCs w:val="24"/>
                <w:lang w:eastAsia="zh-CN"/>
              </w:rPr>
            </w:pPr>
          </w:p>
        </w:tc>
        <w:tc>
          <w:tcPr>
            <w:tcW w:w="3647" w:type="pct"/>
            <w:gridSpan w:val="7"/>
            <w:tcBorders>
              <w:top w:val="single" w:color="auto" w:sz="4" w:space="0"/>
            </w:tcBorders>
          </w:tcPr>
          <w:p w14:paraId="7306CE7C">
            <w:pPr>
              <w:kinsoku/>
              <w:autoSpaceDE/>
              <w:autoSpaceDN/>
              <w:spacing w:line="360" w:lineRule="auto"/>
              <w:jc w:val="both"/>
              <w:textAlignment w:val="auto"/>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课程2：智慧低碳社区建设</w:t>
            </w:r>
          </w:p>
          <w:p w14:paraId="68E1BA7E">
            <w:pPr>
              <w:kinsoku/>
              <w:autoSpaceDE/>
              <w:autoSpaceDN/>
              <w:spacing w:line="360" w:lineRule="auto"/>
              <w:ind w:firstLine="480" w:firstLineChars="200"/>
              <w:jc w:val="both"/>
              <w:textAlignment w:val="auto"/>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智慧低碳社区建设是低碳城市建设的重要组成部分。本课程立足信息化和智能化的时代背景，深入阐述低碳城市建设、智慧低碳社区建设、城市综合能源系统等前沿议题，以及人工智能、数据驱动等数字化手段和低碳建筑材料、清洁能源等低碳技术在智慧低碳社区建设中的应用，从理论、政策、应用和实践等多个层面阐述智慧低碳社区的发展历程、技术基础、运营方式和标准体系等相关知识，使学生建立一个系统的理论框架，加深对智慧低碳社区建设核心内容的理解。</w:t>
            </w:r>
          </w:p>
        </w:tc>
        <w:tc>
          <w:tcPr>
            <w:tcW w:w="507" w:type="pct"/>
            <w:tcBorders>
              <w:top w:val="single" w:color="auto" w:sz="4" w:space="0"/>
            </w:tcBorders>
          </w:tcPr>
          <w:p w14:paraId="718D043B">
            <w:pPr>
              <w:spacing w:line="360" w:lineRule="auto"/>
              <w:rPr>
                <w:rFonts w:ascii="Times New Roman" w:hAnsi="Times New Roman" w:eastAsia="宋体" w:cs="Times New Roman"/>
                <w:bCs/>
                <w:sz w:val="24"/>
                <w:szCs w:val="24"/>
                <w:lang w:eastAsia="zh-CN"/>
              </w:rPr>
            </w:pPr>
          </w:p>
        </w:tc>
      </w:tr>
      <w:tr w14:paraId="3A38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jc w:val="center"/>
        </w:trPr>
        <w:tc>
          <w:tcPr>
            <w:tcW w:w="845" w:type="pct"/>
            <w:gridSpan w:val="2"/>
            <w:vMerge w:val="continue"/>
            <w:vAlign w:val="center"/>
          </w:tcPr>
          <w:p w14:paraId="6A65DCCA">
            <w:pPr>
              <w:spacing w:line="360" w:lineRule="auto"/>
              <w:jc w:val="center"/>
              <w:rPr>
                <w:rFonts w:ascii="Times New Roman" w:hAnsi="Times New Roman" w:eastAsia="宋体" w:cs="Times New Roman"/>
                <w:bCs/>
                <w:sz w:val="24"/>
                <w:szCs w:val="24"/>
                <w:lang w:eastAsia="zh-CN"/>
              </w:rPr>
            </w:pPr>
          </w:p>
        </w:tc>
        <w:tc>
          <w:tcPr>
            <w:tcW w:w="3647" w:type="pct"/>
            <w:gridSpan w:val="7"/>
          </w:tcPr>
          <w:p w14:paraId="1B710FE0">
            <w:pPr>
              <w:kinsoku/>
              <w:autoSpaceDE/>
              <w:autoSpaceDN/>
              <w:spacing w:line="360" w:lineRule="auto"/>
              <w:jc w:val="both"/>
              <w:textAlignment w:val="auto"/>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课程3：低碳与可再生能源</w:t>
            </w:r>
          </w:p>
          <w:p w14:paraId="2A7A529E">
            <w:pPr>
              <w:kinsoku/>
              <w:autoSpaceDE/>
              <w:autoSpaceDN/>
              <w:spacing w:line="360" w:lineRule="auto"/>
              <w:ind w:firstLine="480" w:firstLineChars="200"/>
              <w:jc w:val="both"/>
              <w:textAlignment w:val="auto"/>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低碳与可再生能源》是在节能减排和绿色低碳发展的新形势下，面向环境类、能源化学类等专业本科生开设的专业+课程。通过本课程的学习，能够让学生了解全球气候变化的趋势、影响与对策，了解中国的能源结构及可再生能源的发展现状与趋势，掌握低碳的概念及现代科技在节能减排、实现低碳社会之中的作用，培养学生节能降碳及可再生能源意识，自觉参与节能减排行动，为生态文明建设贡献力量。</w:t>
            </w:r>
          </w:p>
        </w:tc>
        <w:tc>
          <w:tcPr>
            <w:tcW w:w="507" w:type="pct"/>
          </w:tcPr>
          <w:p w14:paraId="65A0EB46">
            <w:pPr>
              <w:spacing w:line="360" w:lineRule="auto"/>
              <w:rPr>
                <w:rFonts w:ascii="Times New Roman" w:hAnsi="Times New Roman" w:eastAsia="宋体" w:cs="Times New Roman"/>
                <w:bCs/>
                <w:sz w:val="24"/>
                <w:szCs w:val="24"/>
                <w:lang w:eastAsia="zh-CN"/>
              </w:rPr>
            </w:pPr>
          </w:p>
        </w:tc>
      </w:tr>
      <w:tr w14:paraId="6EE3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jc w:val="center"/>
        </w:trPr>
        <w:tc>
          <w:tcPr>
            <w:tcW w:w="845" w:type="pct"/>
            <w:gridSpan w:val="2"/>
            <w:vMerge w:val="continue"/>
            <w:vAlign w:val="center"/>
          </w:tcPr>
          <w:p w14:paraId="50ACBA11">
            <w:pPr>
              <w:spacing w:line="360" w:lineRule="auto"/>
              <w:jc w:val="center"/>
              <w:rPr>
                <w:rFonts w:ascii="Times New Roman" w:hAnsi="Times New Roman" w:eastAsia="宋体" w:cs="Times New Roman"/>
                <w:bCs/>
                <w:sz w:val="24"/>
                <w:szCs w:val="24"/>
                <w:lang w:eastAsia="zh-CN"/>
              </w:rPr>
            </w:pPr>
          </w:p>
        </w:tc>
        <w:tc>
          <w:tcPr>
            <w:tcW w:w="3647" w:type="pct"/>
            <w:gridSpan w:val="7"/>
          </w:tcPr>
          <w:p w14:paraId="774E994E">
            <w:pPr>
              <w:kinsoku/>
              <w:autoSpaceDE/>
              <w:autoSpaceDN/>
              <w:spacing w:line="360" w:lineRule="auto"/>
              <w:jc w:val="both"/>
              <w:textAlignment w:val="auto"/>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课程4：绿色低碳发展路径与实践</w:t>
            </w:r>
          </w:p>
          <w:p w14:paraId="70728175">
            <w:pPr>
              <w:kinsoku/>
              <w:autoSpaceDE/>
              <w:autoSpaceDN/>
              <w:spacing w:line="360" w:lineRule="auto"/>
              <w:ind w:firstLine="480" w:firstLineChars="200"/>
              <w:jc w:val="both"/>
              <w:textAlignment w:val="auto"/>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《绿色低碳发展路径与实践》面向环境类、能源化学类等专业本科生，在掌握环境保护和能源化学等基本理论和方法基础上，以国</w:t>
            </w:r>
            <w:r>
              <w:rPr>
                <w:rFonts w:hint="eastAsia" w:ascii="宋体" w:hAnsi="宋体" w:eastAsia="宋体" w:cs="宋体"/>
                <w:bCs/>
                <w:sz w:val="24"/>
                <w:szCs w:val="24"/>
                <w:lang w:eastAsia="zh-CN"/>
              </w:rPr>
              <w:t>家“双碳”战</w:t>
            </w:r>
            <w:r>
              <w:rPr>
                <w:rFonts w:ascii="Times New Roman" w:hAnsi="Times New Roman" w:eastAsia="宋体" w:cs="Times New Roman"/>
                <w:bCs/>
                <w:sz w:val="24"/>
                <w:szCs w:val="24"/>
                <w:lang w:eastAsia="zh-CN"/>
              </w:rPr>
              <w:t>略目标为背景，将绿色低碳发展需求与能源转型、产业发展、城市建设、乡村振兴、生态环境保护、固碳增汇、碳管理、技术创新、绿色金融、国际合作等主题相结合，分析</w:t>
            </w:r>
            <w:r>
              <w:rPr>
                <w:rFonts w:hint="eastAsia" w:ascii="宋体" w:hAnsi="宋体" w:eastAsia="宋体" w:cs="宋体"/>
                <w:bCs/>
                <w:sz w:val="24"/>
                <w:szCs w:val="24"/>
                <w:lang w:eastAsia="zh-CN"/>
              </w:rPr>
              <w:t>“双碳”目标下典型行业和关键领域面临的挑战与机遇，并结合国内外实践案例分析，引导树立绿色低碳发展的生态文明观，掌握“双碳”基础知识和绿色低碳转型发展路线、技术、方法和措施等。课程旨在培养具备“双碳”专业技能的复合型</w:t>
            </w:r>
            <w:r>
              <w:rPr>
                <w:rFonts w:ascii="Times New Roman" w:hAnsi="Times New Roman" w:eastAsia="宋体" w:cs="Times New Roman"/>
                <w:bCs/>
                <w:sz w:val="24"/>
                <w:szCs w:val="24"/>
                <w:lang w:eastAsia="zh-CN"/>
              </w:rPr>
              <w:t>工程技术人才，助力推动产业系统减污降碳协同增效和全社会绿色低碳循环发展。</w:t>
            </w:r>
          </w:p>
        </w:tc>
        <w:tc>
          <w:tcPr>
            <w:tcW w:w="507" w:type="pct"/>
          </w:tcPr>
          <w:p w14:paraId="692EF59D">
            <w:pPr>
              <w:spacing w:line="360" w:lineRule="auto"/>
              <w:rPr>
                <w:rFonts w:ascii="Times New Roman" w:hAnsi="Times New Roman" w:eastAsia="宋体" w:cs="Times New Roman"/>
                <w:bCs/>
                <w:sz w:val="24"/>
                <w:szCs w:val="24"/>
                <w:lang w:eastAsia="zh-CN"/>
              </w:rPr>
            </w:pPr>
          </w:p>
        </w:tc>
      </w:tr>
      <w:tr w14:paraId="6133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4" w:hRule="atLeast"/>
          <w:jc w:val="center"/>
        </w:trPr>
        <w:tc>
          <w:tcPr>
            <w:tcW w:w="845" w:type="pct"/>
            <w:gridSpan w:val="2"/>
            <w:vMerge w:val="continue"/>
            <w:vAlign w:val="center"/>
          </w:tcPr>
          <w:p w14:paraId="2651BECB">
            <w:pPr>
              <w:spacing w:line="360" w:lineRule="auto"/>
              <w:jc w:val="center"/>
              <w:rPr>
                <w:rFonts w:ascii="Times New Roman" w:hAnsi="Times New Roman" w:eastAsia="宋体" w:cs="Times New Roman"/>
                <w:bCs/>
                <w:sz w:val="24"/>
                <w:szCs w:val="24"/>
                <w:lang w:eastAsia="zh-CN"/>
              </w:rPr>
            </w:pPr>
          </w:p>
        </w:tc>
        <w:tc>
          <w:tcPr>
            <w:tcW w:w="3647" w:type="pct"/>
            <w:gridSpan w:val="7"/>
          </w:tcPr>
          <w:p w14:paraId="7F4E2E8D">
            <w:pPr>
              <w:kinsoku/>
              <w:autoSpaceDE/>
              <w:autoSpaceDN/>
              <w:spacing w:line="360" w:lineRule="auto"/>
              <w:jc w:val="both"/>
              <w:textAlignment w:val="auto"/>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课程5：碳核算理论与实践</w:t>
            </w:r>
          </w:p>
          <w:p w14:paraId="355A0081">
            <w:pPr>
              <w:kinsoku/>
              <w:autoSpaceDE/>
              <w:autoSpaceDN/>
              <w:spacing w:line="360" w:lineRule="auto"/>
              <w:ind w:firstLine="480" w:firstLineChars="200"/>
              <w:jc w:val="both"/>
              <w:textAlignment w:val="auto"/>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碳核算理论与实践》以国家可持续化发展战略需求为导向，全面地介绍了碳核算的背景意义和方法原理的基本概念和基础知识、碳减排技术、区域碳减排管理制度、碳减排政策及相关法律法规知识以及国内外在碳核算方面开展的工作，系统呈现了温室气体种类及核算对象、碳核算工作程序、核算边界及碳排放源判断、生产数据的获取、碳排放量的核算方法及参数定义等方面的内容。本课程旨在培养学生从行业技术、经济、管理等方面发现问题、分析问题和解决问题的能力，提升“双碳”背景下经济、社会、环境等多因素复杂影响的综合思维素养，助力中国绿色低碳转型升级发展储备人才培养。</w:t>
            </w:r>
          </w:p>
        </w:tc>
        <w:tc>
          <w:tcPr>
            <w:tcW w:w="507" w:type="pct"/>
          </w:tcPr>
          <w:p w14:paraId="1509275F">
            <w:pPr>
              <w:spacing w:line="360" w:lineRule="auto"/>
              <w:rPr>
                <w:rFonts w:ascii="Times New Roman" w:hAnsi="Times New Roman" w:eastAsia="宋体" w:cs="Times New Roman"/>
                <w:bCs/>
                <w:sz w:val="24"/>
                <w:szCs w:val="24"/>
                <w:lang w:eastAsia="zh-CN"/>
              </w:rPr>
            </w:pPr>
          </w:p>
        </w:tc>
      </w:tr>
    </w:tbl>
    <w:p w14:paraId="35C41959">
      <w:pPr>
        <w:spacing w:line="360" w:lineRule="auto"/>
        <w:rPr>
          <w:rFonts w:ascii="Times New Roman" w:hAnsi="Times New Roman" w:eastAsia="宋体" w:cs="Times New Roman"/>
          <w:lang w:eastAsia="zh-CN"/>
        </w:rPr>
      </w:pPr>
    </w:p>
    <w:p w14:paraId="1ACD78D3">
      <w:pPr>
        <w:spacing w:line="360" w:lineRule="auto"/>
        <w:ind w:firstLine="1050" w:firstLineChars="500"/>
        <w:rPr>
          <w:rFonts w:ascii="Times New Roman" w:hAnsi="Times New Roman" w:eastAsia="宋体" w:cs="Times New Roman"/>
          <w:lang w:eastAsia="zh-CN"/>
        </w:rPr>
      </w:pPr>
    </w:p>
    <w:p w14:paraId="11394452">
      <w:pPr>
        <w:spacing w:line="360" w:lineRule="auto"/>
        <w:ind w:firstLine="630" w:firstLineChars="300"/>
        <w:rPr>
          <w:rFonts w:ascii="Times New Roman" w:hAnsi="Times New Roman" w:eastAsia="宋体" w:cs="Times New Roman"/>
          <w:lang w:eastAsia="zh-CN"/>
        </w:rPr>
      </w:pPr>
    </w:p>
    <w:p w14:paraId="2D588DC7">
      <w:pPr>
        <w:spacing w:line="360" w:lineRule="auto"/>
        <w:ind w:firstLine="630" w:firstLineChars="300"/>
        <w:rPr>
          <w:rFonts w:ascii="Times New Roman" w:hAnsi="Times New Roman" w:eastAsia="宋体" w:cs="Times New Roman"/>
          <w:lang w:eastAsia="zh-CN"/>
        </w:rPr>
      </w:pPr>
    </w:p>
    <w:p w14:paraId="245CD789">
      <w:pPr>
        <w:spacing w:line="360" w:lineRule="auto"/>
        <w:ind w:firstLine="630" w:firstLineChars="300"/>
        <w:rPr>
          <w:rFonts w:ascii="Times New Roman" w:hAnsi="Times New Roman" w:eastAsia="宋体" w:cs="Times New Roman"/>
          <w:sz w:val="28"/>
          <w:szCs w:val="28"/>
          <w:lang w:eastAsia="zh-CN"/>
        </w:rPr>
      </w:pPr>
      <w:r>
        <w:rPr>
          <w:rFonts w:ascii="Times New Roman" w:hAnsi="Times New Roman" w:eastAsia="宋体" w:cs="Times New Roman"/>
          <w:lang w:eastAsia="zh-CN"/>
        </w:rPr>
        <w:t xml:space="preserve"> </w:t>
      </w:r>
      <w:r>
        <w:rPr>
          <w:rFonts w:ascii="Times New Roman" w:hAnsi="Times New Roman" w:eastAsia="宋体" w:cs="Times New Roman"/>
          <w:bCs/>
          <w:sz w:val="28"/>
          <w:szCs w:val="28"/>
          <w:lang w:eastAsia="zh-CN"/>
        </w:rPr>
        <w:t>制定：</w:t>
      </w:r>
      <w:r>
        <w:rPr>
          <w:rFonts w:ascii="Times New Roman" w:hAnsi="Times New Roman" w:eastAsia="宋体" w:cs="Times New Roman"/>
          <w:bCs/>
          <w:sz w:val="28"/>
          <w:szCs w:val="28"/>
          <w:u w:val="single"/>
          <w:lang w:eastAsia="zh-CN"/>
        </w:rPr>
        <w:t xml:space="preserve"> </w:t>
      </w:r>
      <w:r>
        <w:rPr>
          <w:rFonts w:hint="eastAsia" w:ascii="Times New Roman" w:hAnsi="Times New Roman" w:eastAsia="宋体" w:cs="Times New Roman"/>
          <w:bCs/>
          <w:sz w:val="28"/>
          <w:szCs w:val="28"/>
          <w:u w:val="single"/>
          <w:lang w:eastAsia="zh-CN"/>
        </w:rPr>
        <w:t>庄绪宁</w:t>
      </w:r>
      <w:r>
        <w:rPr>
          <w:rFonts w:ascii="Times New Roman" w:hAnsi="Times New Roman" w:eastAsia="宋体" w:cs="Times New Roman"/>
          <w:bCs/>
          <w:sz w:val="28"/>
          <w:szCs w:val="28"/>
          <w:u w:val="single"/>
          <w:lang w:eastAsia="zh-CN"/>
        </w:rPr>
        <w:t xml:space="preserve"> </w:t>
      </w:r>
      <w:r>
        <w:rPr>
          <w:rFonts w:ascii="Times New Roman" w:hAnsi="Times New Roman" w:eastAsia="宋体" w:cs="Times New Roman"/>
          <w:bCs/>
          <w:sz w:val="28"/>
          <w:szCs w:val="28"/>
          <w:lang w:eastAsia="zh-CN"/>
        </w:rPr>
        <w:t xml:space="preserve"> 审核：</w:t>
      </w:r>
      <w:r>
        <w:rPr>
          <w:rFonts w:ascii="Times New Roman" w:hAnsi="Times New Roman" w:eastAsia="宋体" w:cs="Times New Roman"/>
          <w:bCs/>
          <w:sz w:val="28"/>
          <w:szCs w:val="28"/>
          <w:u w:val="single"/>
          <w:lang w:eastAsia="zh-CN"/>
        </w:rPr>
        <w:t xml:space="preserve"> </w:t>
      </w:r>
      <w:r>
        <w:rPr>
          <w:rFonts w:hint="eastAsia" w:ascii="Times New Roman" w:hAnsi="Times New Roman" w:eastAsia="宋体" w:cs="Times New Roman"/>
          <w:bCs/>
          <w:sz w:val="28"/>
          <w:szCs w:val="28"/>
          <w:u w:val="single"/>
          <w:lang w:eastAsia="zh-CN"/>
        </w:rPr>
        <w:t>郭耀广</w:t>
      </w:r>
      <w:r>
        <w:rPr>
          <w:rFonts w:ascii="Times New Roman" w:hAnsi="Times New Roman" w:eastAsia="宋体" w:cs="Times New Roman"/>
          <w:bCs/>
          <w:sz w:val="28"/>
          <w:szCs w:val="28"/>
          <w:lang w:eastAsia="zh-CN"/>
        </w:rPr>
        <w:t xml:space="preserve">  日期：</w:t>
      </w:r>
      <w:r>
        <w:rPr>
          <w:rFonts w:ascii="Times New Roman" w:hAnsi="Times New Roman" w:eastAsia="宋体" w:cs="Times New Roman"/>
          <w:bCs/>
          <w:sz w:val="28"/>
          <w:szCs w:val="28"/>
          <w:u w:val="single"/>
          <w:lang w:eastAsia="zh-CN"/>
        </w:rPr>
        <w:t xml:space="preserve"> 202</w:t>
      </w:r>
      <w:r>
        <w:rPr>
          <w:rFonts w:hint="eastAsia" w:ascii="Times New Roman" w:hAnsi="Times New Roman" w:eastAsia="宋体" w:cs="Times New Roman"/>
          <w:bCs/>
          <w:sz w:val="28"/>
          <w:szCs w:val="28"/>
          <w:u w:val="single"/>
          <w:lang w:eastAsia="zh-CN"/>
        </w:rPr>
        <w:t>5</w:t>
      </w:r>
      <w:r>
        <w:rPr>
          <w:rFonts w:ascii="Times New Roman" w:hAnsi="Times New Roman" w:eastAsia="宋体" w:cs="Times New Roman"/>
          <w:bCs/>
          <w:sz w:val="28"/>
          <w:szCs w:val="28"/>
          <w:u w:val="single"/>
          <w:lang w:eastAsia="zh-CN"/>
        </w:rPr>
        <w:t>年</w:t>
      </w:r>
      <w:r>
        <w:rPr>
          <w:rFonts w:hint="eastAsia" w:ascii="Times New Roman" w:hAnsi="Times New Roman" w:eastAsia="宋体" w:cs="Times New Roman"/>
          <w:bCs/>
          <w:sz w:val="28"/>
          <w:szCs w:val="28"/>
          <w:u w:val="single"/>
          <w:lang w:eastAsia="zh-CN"/>
        </w:rPr>
        <w:t>9</w:t>
      </w:r>
      <w:r>
        <w:rPr>
          <w:rFonts w:ascii="Times New Roman" w:hAnsi="Times New Roman" w:eastAsia="宋体" w:cs="Times New Roman"/>
          <w:bCs/>
          <w:sz w:val="28"/>
          <w:szCs w:val="28"/>
          <w:u w:val="single"/>
          <w:lang w:eastAsia="zh-CN"/>
        </w:rPr>
        <w:t>月</w:t>
      </w:r>
      <w:r>
        <w:rPr>
          <w:rFonts w:hint="eastAsia" w:ascii="Times New Roman" w:hAnsi="Times New Roman" w:eastAsia="宋体" w:cs="Times New Roman"/>
          <w:bCs/>
          <w:sz w:val="28"/>
          <w:szCs w:val="28"/>
          <w:u w:val="single"/>
          <w:lang w:eastAsia="zh-CN"/>
        </w:rPr>
        <w:t>5</w:t>
      </w:r>
      <w:r>
        <w:rPr>
          <w:rFonts w:ascii="Times New Roman" w:hAnsi="Times New Roman" w:eastAsia="宋体" w:cs="Times New Roman"/>
          <w:bCs/>
          <w:sz w:val="28"/>
          <w:szCs w:val="28"/>
          <w:u w:val="single"/>
          <w:lang w:eastAsia="zh-CN"/>
        </w:rPr>
        <w:t xml:space="preserve">日 </w:t>
      </w:r>
    </w:p>
    <w:p w14:paraId="6159E460">
      <w:pPr>
        <w:spacing w:line="360" w:lineRule="auto"/>
        <w:outlineLvl w:val="1"/>
        <w:rPr>
          <w:rFonts w:ascii="Times New Roman" w:hAnsi="Times New Roman" w:eastAsia="宋体" w:cs="Times New Roman"/>
          <w:b/>
          <w:bCs/>
          <w:spacing w:val="-5"/>
          <w:sz w:val="24"/>
          <w:szCs w:val="24"/>
          <w:lang w:eastAsia="zh-CN"/>
        </w:rPr>
      </w:pPr>
    </w:p>
    <w:p w14:paraId="45054B84">
      <w:pPr>
        <w:spacing w:line="360" w:lineRule="auto"/>
        <w:outlineLvl w:val="1"/>
        <w:rPr>
          <w:rFonts w:ascii="Times New Roman" w:hAnsi="Times New Roman" w:eastAsia="宋体" w:cs="Times New Roman"/>
          <w:b/>
          <w:bCs/>
          <w:spacing w:val="-5"/>
          <w:sz w:val="24"/>
          <w:szCs w:val="24"/>
          <w:lang w:eastAsia="zh-CN"/>
        </w:rPr>
      </w:pPr>
    </w:p>
    <w:p w14:paraId="0037A5B8">
      <w:pPr>
        <w:spacing w:line="360" w:lineRule="auto"/>
        <w:outlineLvl w:val="1"/>
        <w:rPr>
          <w:rFonts w:ascii="Times New Roman" w:hAnsi="Times New Roman" w:eastAsia="宋体" w:cs="Times New Roman"/>
          <w:b/>
          <w:bCs/>
          <w:spacing w:val="-5"/>
          <w:sz w:val="24"/>
          <w:szCs w:val="24"/>
          <w:lang w:eastAsia="zh-CN"/>
        </w:rPr>
      </w:pPr>
    </w:p>
    <w:p w14:paraId="2064CC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6E67E2"/>
    <w:rsid w:val="726E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2025-09-22T08:02:00Z</dcterms:created>
  <dc:creator>Iris</dc:creator>
  <cp:lastModifiedBy>Iris</cp:lastModifiedBy>
  <dcterms:modified xsi:type="dcterms:W3CDTF">2025-09-22T08:02:32Z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37D7AE1043A14B4C904CF132FE2F8BBF_11</vt:lpwstr>
  </property>
  <property fmtid="{D5CDD505-2E9C-101B-9397-08002B2CF9AE}" pid="4" name="KSOTemplateDocerSaveRecord">
    <vt:lpwstr>eyJoZGlkIjoiMjg1NzliZmY4MTcwYjExYTgxOGM2NGFhNTNjOTkyZjUiLCJ1c2VySWQiOiIyNTUxMDc2NDkifQ==</vt:lpwstr>
  </property>
</Properties>
</file>